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default" w:eastAsia="宋体"/>
          <w:lang w:val="en-US" w:eastAsia="zh-CN"/>
        </w:rPr>
      </w:pPr>
      <w:r>
        <w:rPr>
          <w:lang w:val="en-GB"/>
        </w:rPr>
        <w:t>3GPP TSG-RAN WG2 Meeting #1</w:t>
      </w:r>
      <w:r>
        <w:rPr>
          <w:rFonts w:hint="eastAsia" w:eastAsia="宋体"/>
          <w:lang w:val="en-US" w:eastAsia="zh-CN"/>
        </w:rPr>
        <w:t xml:space="preserve">27bis                      </w:t>
      </w:r>
      <w:r>
        <w:rPr>
          <w:rFonts w:hint="eastAsia" w:ascii="Segoe UI" w:hAnsi="Segoe UI" w:eastAsia="等线" w:cs="Segoe UI"/>
          <w:color w:val="000000"/>
          <w:sz w:val="22"/>
          <w:szCs w:val="22"/>
          <w:lang w:val="en-US" w:eastAsia="zh-CN" w:bidi="ar"/>
        </w:rPr>
        <w:t>R2-2408060</w:t>
      </w:r>
      <w:bookmarkStart w:id="3" w:name="_GoBack"/>
      <w:bookmarkEnd w:id="3"/>
    </w:p>
    <w:p>
      <w:pPr>
        <w:pStyle w:val="8"/>
        <w:rPr>
          <w:rFonts w:hint="eastAsia" w:eastAsia="宋体"/>
          <w:lang w:val="en-US" w:eastAsia="zh-CN"/>
        </w:rPr>
      </w:pPr>
      <w:r>
        <w:rPr>
          <w:rFonts w:hint="eastAsia" w:eastAsia="宋体"/>
          <w:lang w:val="en-US" w:eastAsia="zh-CN"/>
        </w:rPr>
        <w:t>Hefei</w:t>
      </w:r>
      <w:r>
        <w:t xml:space="preserve">, </w:t>
      </w:r>
      <w:r>
        <w:rPr>
          <w:rFonts w:hint="eastAsia" w:eastAsia="宋体"/>
          <w:lang w:val="en-US" w:eastAsia="zh-CN"/>
        </w:rPr>
        <w:t>China</w:t>
      </w:r>
      <w:r>
        <w:t xml:space="preserve">, </w:t>
      </w:r>
      <w:r>
        <w:rPr>
          <w:rFonts w:hint="eastAsia" w:eastAsia="宋体"/>
          <w:lang w:val="en-US" w:eastAsia="zh-CN"/>
        </w:rPr>
        <w:t>Oct.14</w:t>
      </w:r>
      <w:r>
        <w:rPr>
          <w:rFonts w:hint="eastAsia" w:eastAsia="宋体"/>
          <w:vertAlign w:val="superscript"/>
          <w:lang w:val="en-US" w:eastAsia="zh-CN"/>
        </w:rPr>
        <w:t>th</w:t>
      </w:r>
      <w:r>
        <w:rPr>
          <w:b/>
          <w:bCs/>
          <w:sz w:val="24"/>
          <w:vertAlign w:val="superscript"/>
        </w:rPr>
        <w:t xml:space="preserve"> </w:t>
      </w:r>
      <w:r>
        <w:rPr>
          <w:b/>
          <w:bCs/>
          <w:sz w:val="24"/>
        </w:rPr>
        <w:t>–</w:t>
      </w:r>
      <w:r>
        <w:rPr>
          <w:rFonts w:hint="eastAsia" w:eastAsia="宋体"/>
          <w:b/>
          <w:bCs/>
          <w:sz w:val="24"/>
          <w:lang w:val="en-US" w:eastAsia="zh-CN"/>
        </w:rPr>
        <w:t xml:space="preserve"> Oct.</w:t>
      </w:r>
      <w:r>
        <w:rPr>
          <w:rFonts w:hint="eastAsia" w:eastAsia="宋体"/>
          <w:lang w:val="en-US" w:eastAsia="zh-CN"/>
        </w:rPr>
        <w:t>18</w:t>
      </w:r>
      <w:r>
        <w:rPr>
          <w:rFonts w:hint="eastAsia" w:eastAsia="宋体"/>
          <w:vertAlign w:val="superscript"/>
          <w:lang w:val="en-US" w:eastAsia="zh-CN"/>
        </w:rPr>
        <w:t>th</w:t>
      </w:r>
      <w:r>
        <w:rPr>
          <w:lang w:val="en-GB"/>
        </w:rPr>
        <w:t>, 202</w:t>
      </w:r>
      <w:r>
        <w:rPr>
          <w:rFonts w:hint="eastAsia" w:eastAsia="宋体"/>
          <w:lang w:val="en-US" w:eastAsia="zh-CN"/>
        </w:rPr>
        <w:t>4</w:t>
      </w:r>
    </w:p>
    <w:p>
      <w:pPr>
        <w:tabs>
          <w:tab w:val="left" w:pos="1980"/>
        </w:tabs>
        <w:spacing w:after="180"/>
        <w:rPr>
          <w:rFonts w:cs="Arial"/>
          <w:b/>
          <w:bCs/>
          <w:sz w:val="24"/>
          <w:lang w:val="en-US" w:eastAsia="en-US"/>
        </w:rPr>
      </w:pPr>
    </w:p>
    <w:p>
      <w:pPr>
        <w:tabs>
          <w:tab w:val="left" w:pos="1980"/>
        </w:tabs>
        <w:spacing w:after="180"/>
        <w:rPr>
          <w:rFonts w:hint="default" w:eastAsia="宋体" w:cs="Arial"/>
          <w:b/>
          <w:bCs/>
          <w:sz w:val="24"/>
          <w:lang w:val="en-US" w:eastAsia="zh-CN"/>
        </w:rPr>
      </w:pPr>
      <w:r>
        <w:rPr>
          <w:rFonts w:cs="Arial"/>
          <w:b/>
          <w:bCs/>
          <w:sz w:val="24"/>
          <w:lang w:val="en-US" w:eastAsia="en-US"/>
        </w:rPr>
        <w:t>Agenda Item:</w:t>
      </w:r>
      <w:r>
        <w:rPr>
          <w:rFonts w:cs="Arial"/>
          <w:b/>
          <w:bCs/>
          <w:sz w:val="24"/>
          <w:lang w:val="en-US" w:eastAsia="en-US"/>
        </w:rPr>
        <w:tab/>
      </w:r>
      <w:r>
        <w:rPr>
          <w:rFonts w:hint="eastAsia" w:eastAsia="宋体" w:cs="Arial"/>
          <w:b/>
          <w:bCs/>
          <w:sz w:val="24"/>
          <w:lang w:val="en-US" w:eastAsia="zh-CN"/>
        </w:rPr>
        <w:t>8.2.4</w:t>
      </w:r>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eastAsia="宋体" w:cs="Arial"/>
          <w:b/>
          <w:bCs/>
          <w:sz w:val="24"/>
          <w:lang w:val="en-US" w:eastAsia="zh-CN"/>
        </w:rPr>
        <w:t>Transsion Holdings</w:t>
      </w:r>
    </w:p>
    <w:p>
      <w:pPr>
        <w:tabs>
          <w:tab w:val="left" w:pos="1979"/>
        </w:tabs>
        <w:spacing w:after="180"/>
        <w:ind w:left="1979" w:hanging="1979"/>
        <w:rPr>
          <w:rFonts w:hint="default" w:cs="Arial"/>
          <w:b/>
          <w:bCs/>
          <w:sz w:val="24"/>
          <w:lang w:val="en-US"/>
        </w:rPr>
      </w:pPr>
      <w:r>
        <w:rPr>
          <w:rFonts w:cs="Arial"/>
          <w:b/>
          <w:bCs/>
          <w:sz w:val="24"/>
          <w:lang w:val="en-US" w:eastAsia="en-US"/>
        </w:rPr>
        <w:t xml:space="preserve">Title:  </w:t>
      </w:r>
      <w:r>
        <w:rPr>
          <w:rFonts w:cs="Arial"/>
          <w:b/>
          <w:bCs/>
          <w:sz w:val="24"/>
          <w:lang w:val="en-US" w:eastAsia="en-US"/>
        </w:rPr>
        <w:tab/>
      </w:r>
      <w:r>
        <w:rPr>
          <w:rFonts w:hint="eastAsia" w:eastAsia="宋体" w:cs="Arial"/>
          <w:b/>
          <w:bCs/>
          <w:sz w:val="24"/>
          <w:lang w:val="en-US" w:eastAsia="zh-CN"/>
        </w:rPr>
        <w:t>Discussion on Random Access for A-IoT</w:t>
      </w:r>
    </w:p>
    <w:p>
      <w:pPr>
        <w:tabs>
          <w:tab w:val="left" w:pos="1979"/>
        </w:tabs>
        <w:spacing w:after="180"/>
        <w:rPr>
          <w:rFonts w:hint="eastAsia" w:eastAsia="宋体"/>
          <w:lang w:val="en-US" w:eastAsia="zh-CN"/>
        </w:rPr>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p>
    <w:p>
      <w:pPr>
        <w:pStyle w:val="2"/>
        <w:numPr>
          <w:ilvl w:val="0"/>
          <w:numId w:val="3"/>
        </w:numPr>
      </w:pPr>
      <w:bookmarkStart w:id="0" w:name="_Ref488331639"/>
      <w:r>
        <w:t>Introduction</w:t>
      </w:r>
      <w:bookmarkEnd w:id="0"/>
    </w:p>
    <w:p>
      <w:pPr>
        <w:pStyle w:val="6"/>
        <w:keepNext w:val="0"/>
        <w:keepLines w:val="0"/>
        <w:pageBreakBefore w:val="0"/>
        <w:widowControl/>
        <w:kinsoku/>
        <w:wordWrap/>
        <w:overflowPunct/>
        <w:topLinePunct w:val="0"/>
        <w:autoSpaceDE/>
        <w:autoSpaceDN/>
        <w:bidi w:val="0"/>
        <w:adjustRightInd/>
        <w:snapToGrid/>
        <w:textAlignment w:val="auto"/>
        <w:rPr>
          <w:rFonts w:hint="eastAsia" w:ascii="Arial" w:hAnsi="Arial" w:cs="Arial" w:eastAsiaTheme="minorEastAsia"/>
          <w:szCs w:val="20"/>
          <w:lang w:val="en-GB"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 xml:space="preserve">the </w:t>
      </w:r>
      <w:r>
        <w:rPr>
          <w:rFonts w:hint="eastAsia" w:cs="Arial" w:eastAsiaTheme="minorEastAsia"/>
          <w:szCs w:val="20"/>
          <w:lang w:val="en-US" w:eastAsia="zh-CN"/>
        </w:rPr>
        <w:t xml:space="preserve">last </w:t>
      </w:r>
      <w:r>
        <w:rPr>
          <w:rFonts w:hint="eastAsia" w:ascii="Arial" w:hAnsi="Arial" w:cs="Arial" w:eastAsiaTheme="minorEastAsia"/>
          <w:szCs w:val="20"/>
          <w:lang w:val="en-US" w:eastAsia="zh-CN"/>
        </w:rPr>
        <w:t>RAN</w:t>
      </w:r>
      <w:r>
        <w:rPr>
          <w:rFonts w:hint="eastAsia" w:cs="Arial" w:eastAsiaTheme="minorEastAsia"/>
          <w:szCs w:val="20"/>
          <w:lang w:val="en-US" w:eastAsia="zh-CN"/>
        </w:rPr>
        <w:t>2</w:t>
      </w:r>
      <w:r>
        <w:rPr>
          <w:rFonts w:hint="eastAsia" w:ascii="Arial" w:hAnsi="Arial" w:cs="Arial" w:eastAsiaTheme="minorEastAsia"/>
          <w:szCs w:val="20"/>
          <w:lang w:val="en-US" w:eastAsia="zh-CN"/>
        </w:rPr>
        <w:t>#1</w:t>
      </w:r>
      <w:r>
        <w:rPr>
          <w:rFonts w:hint="eastAsia" w:cs="Arial" w:eastAsiaTheme="minorEastAsia"/>
          <w:szCs w:val="20"/>
          <w:lang w:val="en-US" w:eastAsia="zh-CN"/>
        </w:rPr>
        <w:t>27</w:t>
      </w:r>
      <w:r>
        <w:rPr>
          <w:rFonts w:hint="eastAsia" w:ascii="Arial" w:hAnsi="Arial" w:cs="Arial" w:eastAsiaTheme="minorEastAsia"/>
          <w:szCs w:val="20"/>
          <w:lang w:val="en-US" w:eastAsia="zh-CN"/>
        </w:rPr>
        <w:t xml:space="preserve"> </w:t>
      </w:r>
      <w:r>
        <w:rPr>
          <w:rFonts w:hint="eastAsia" w:ascii="Arial" w:hAnsi="Arial" w:cs="Arial" w:eastAsiaTheme="minorEastAsia"/>
          <w:szCs w:val="20"/>
          <w:lang w:val="en-GB" w:eastAsia="zh-CN"/>
        </w:rPr>
        <w:t xml:space="preserve">meeting, </w:t>
      </w:r>
      <w:r>
        <w:rPr>
          <w:rFonts w:hint="eastAsia" w:cs="Arial" w:eastAsiaTheme="minorEastAsia"/>
          <w:szCs w:val="20"/>
          <w:lang w:val="en-US" w:eastAsia="zh-CN"/>
        </w:rPr>
        <w:t>the A-IoT Random Access was discussed</w:t>
      </w:r>
      <w:r>
        <w:rPr>
          <w:rFonts w:hint="eastAsia" w:ascii="Arial" w:hAnsi="Arial" w:cs="Arial" w:eastAsiaTheme="minorEastAsia"/>
          <w:szCs w:val="20"/>
          <w:lang w:val="en-US" w:eastAsia="zh-CN"/>
        </w:rPr>
        <w:t xml:space="preserve"> and </w:t>
      </w:r>
      <w:r>
        <w:rPr>
          <w:rFonts w:hint="eastAsia" w:cs="Arial" w:eastAsiaTheme="minorEastAsia"/>
          <w:szCs w:val="20"/>
          <w:lang w:val="en-US" w:eastAsia="zh-CN"/>
        </w:rPr>
        <w:t>the following agreements were made</w:t>
      </w:r>
      <w:r>
        <w:rPr>
          <w:rFonts w:hint="eastAsia" w:ascii="Arial" w:hAnsi="Arial" w:cs="Arial" w:eastAsiaTheme="minorEastAsia"/>
          <w:szCs w:val="20"/>
          <w:lang w:val="en-GB" w:eastAsia="zh-CN"/>
        </w:rPr>
        <w:t>[1</w:t>
      </w:r>
      <w:r>
        <w:rPr>
          <w:rFonts w:hint="eastAsia" w:ascii="Arial" w:hAnsi="Arial" w:cs="Arial" w:eastAsiaTheme="minorEastAsia"/>
          <w:szCs w:val="20"/>
          <w:lang w:val="en-US" w:eastAsia="zh-CN"/>
        </w:rPr>
        <w:t>]:</w:t>
      </w:r>
    </w:p>
    <w:p>
      <w:pPr>
        <w:pStyle w:val="16"/>
        <w:pBdr>
          <w:top w:val="single" w:color="auto" w:sz="4" w:space="1"/>
          <w:left w:val="single" w:color="auto" w:sz="4" w:space="4"/>
          <w:bottom w:val="single" w:color="auto" w:sz="4" w:space="1"/>
          <w:right w:val="single" w:color="auto" w:sz="4" w:space="4"/>
        </w:pBdr>
        <w:rPr>
          <w:b/>
          <w:bCs/>
          <w:lang w:val="en-US" w:eastAsia="zh-CN"/>
        </w:rPr>
      </w:pPr>
      <w:r>
        <w:rPr>
          <w:b/>
          <w:bCs/>
          <w:lang w:val="en-US" w:eastAsia="zh-CN"/>
        </w:rPr>
        <w:t>Agreements</w:t>
      </w:r>
    </w:p>
    <w:p>
      <w:pPr>
        <w:pStyle w:val="16"/>
        <w:pBdr>
          <w:top w:val="single" w:color="auto" w:sz="4" w:space="1"/>
          <w:left w:val="single" w:color="auto" w:sz="4" w:space="4"/>
          <w:bottom w:val="single" w:color="auto" w:sz="4" w:space="1"/>
          <w:right w:val="single" w:color="auto" w:sz="4" w:space="4"/>
        </w:pBdr>
        <w:rPr>
          <w:lang w:val="en-US" w:eastAsia="zh-CN"/>
        </w:rPr>
      </w:pPr>
      <w:r>
        <w:rPr>
          <w:lang w:val="en-US" w:eastAsia="zh-CN"/>
        </w:rPr>
        <w:t>-</w:t>
      </w:r>
      <w:r>
        <w:rPr>
          <w:lang w:val="en-US" w:eastAsia="zh-CN"/>
        </w:rPr>
        <w:tab/>
      </w:r>
      <w:r>
        <w:rPr>
          <w:lang w:val="en-US" w:eastAsia="zh-CN"/>
        </w:rPr>
        <w:t xml:space="preserve">For 3-step CBRA Support fixed random ID size is 16 bit.   The ID is randomly generated.  </w:t>
      </w:r>
    </w:p>
    <w:p>
      <w:pPr>
        <w:pStyle w:val="16"/>
        <w:pBdr>
          <w:top w:val="single" w:color="auto" w:sz="4" w:space="1"/>
          <w:left w:val="single" w:color="auto" w:sz="4" w:space="4"/>
          <w:bottom w:val="single" w:color="auto" w:sz="4" w:space="1"/>
          <w:right w:val="single" w:color="auto" w:sz="4" w:space="4"/>
        </w:pBdr>
        <w:rPr>
          <w:lang w:val="en-US" w:eastAsia="zh-CN"/>
        </w:rPr>
      </w:pPr>
      <w:r>
        <w:rPr>
          <w:lang w:val="en-US" w:eastAsia="zh-CN"/>
        </w:rPr>
        <w:t>-</w:t>
      </w:r>
      <w:r>
        <w:rPr>
          <w:lang w:val="en-US" w:eastAsia="zh-CN"/>
        </w:rPr>
        <w:tab/>
      </w:r>
      <w:r>
        <w:rPr>
          <w:lang w:val="en-US" w:eastAsia="zh-CN"/>
        </w:rPr>
        <w:t xml:space="preserve">Failure/success indication of D2R will be studied.   FFS if it would be implicit or explicit and for which use case it is needed.  FFS whether it is applied only to some cases.  </w:t>
      </w:r>
    </w:p>
    <w:p>
      <w:pPr>
        <w:pStyle w:val="16"/>
        <w:pBdr>
          <w:top w:val="single" w:color="auto" w:sz="4" w:space="1"/>
          <w:left w:val="single" w:color="auto" w:sz="4" w:space="4"/>
          <w:bottom w:val="single" w:color="auto" w:sz="4" w:space="1"/>
          <w:right w:val="single" w:color="auto" w:sz="4" w:space="4"/>
        </w:pBdr>
      </w:pPr>
      <w:r>
        <w:t xml:space="preserve"> </w:t>
      </w:r>
    </w:p>
    <w:p>
      <w:pPr>
        <w:pStyle w:val="16"/>
        <w:pBdr>
          <w:top w:val="single" w:color="auto" w:sz="4" w:space="1"/>
          <w:left w:val="single" w:color="auto" w:sz="4" w:space="4"/>
          <w:bottom w:val="single" w:color="auto" w:sz="4" w:space="1"/>
          <w:right w:val="single" w:color="auto" w:sz="4" w:space="4"/>
        </w:pBdr>
        <w:rPr>
          <w:b/>
          <w:bCs/>
        </w:rPr>
      </w:pPr>
      <w:r>
        <w:rPr>
          <w:b/>
          <w:bCs/>
        </w:rPr>
        <w:t xml:space="preserve">Agreements </w:t>
      </w:r>
    </w:p>
    <w:p>
      <w:pPr>
        <w:pStyle w:val="16"/>
        <w:pBdr>
          <w:top w:val="single" w:color="auto" w:sz="4" w:space="1"/>
          <w:left w:val="single" w:color="auto" w:sz="4" w:space="4"/>
          <w:bottom w:val="single" w:color="auto" w:sz="4" w:space="1"/>
          <w:right w:val="single" w:color="auto" w:sz="4" w:space="4"/>
        </w:pBdr>
      </w:pPr>
      <w:r>
        <w:t>-</w:t>
      </w:r>
      <w:r>
        <w:tab/>
      </w:r>
      <w:r>
        <w:t>for 2step CBRA, RAN2 design will support msg2.  Whether it is needed it is up to the reader.  FFS when it is needed.  For 2-step CBRA (when mgs2 is needed), the random ID (fixed 16bits) is also included in A-IoT Msg1, and is echoed in A-IoT Msg2.</w:t>
      </w:r>
      <w:r>
        <w:rPr>
          <w:i/>
          <w:iCs/>
        </w:rPr>
        <w:t xml:space="preserve">   </w:t>
      </w:r>
      <w:r>
        <w:t xml:space="preserve">FFS if there will be devices support only 2-step RA and any other optimizations will be needed for such devices.  </w:t>
      </w:r>
    </w:p>
    <w:p>
      <w:pPr>
        <w:pStyle w:val="16"/>
        <w:pBdr>
          <w:top w:val="single" w:color="auto" w:sz="4" w:space="1"/>
          <w:left w:val="single" w:color="auto" w:sz="4" w:space="4"/>
          <w:bottom w:val="single" w:color="auto" w:sz="4" w:space="1"/>
          <w:right w:val="single" w:color="auto" w:sz="4" w:space="4"/>
        </w:pBdr>
      </w:pPr>
      <w:r>
        <w:t>-</w:t>
      </w:r>
      <w:r>
        <w:tab/>
      </w:r>
      <w:r>
        <w:t xml:space="preserve">In contention-free access, the A-IoT device directly sends the upper layer data (e.g. device ID) in its very first D2R message after being triggered (i.e. skip contention resolution Msg1/2).   FFS if a short AS ID is also included in the message and what type of ID for scheduling purposes.   </w:t>
      </w:r>
    </w:p>
    <w:p>
      <w:pPr>
        <w:pStyle w:val="16"/>
        <w:pBdr>
          <w:top w:val="single" w:color="auto" w:sz="4" w:space="1"/>
          <w:left w:val="single" w:color="auto" w:sz="4" w:space="4"/>
          <w:bottom w:val="single" w:color="auto" w:sz="4" w:space="1"/>
          <w:right w:val="single" w:color="auto" w:sz="4" w:space="4"/>
        </w:pBdr>
      </w:pPr>
      <w:r>
        <w:t>-</w:t>
      </w:r>
      <w:r>
        <w:tab/>
      </w:r>
      <w:r>
        <w:t>FFS if reader assigns the AS ID for scheduling purposes</w:t>
      </w:r>
    </w:p>
    <w:p>
      <w:pPr>
        <w:pStyle w:val="16"/>
        <w:pBdr>
          <w:top w:val="single" w:color="auto" w:sz="4" w:space="1"/>
          <w:left w:val="single" w:color="auto" w:sz="4" w:space="4"/>
          <w:bottom w:val="single" w:color="auto" w:sz="4" w:space="1"/>
          <w:right w:val="single" w:color="auto" w:sz="4" w:space="4"/>
        </w:pBdr>
        <w:rPr>
          <w:rFonts w:hint="eastAsia"/>
        </w:rPr>
      </w:pPr>
    </w:p>
    <w:p>
      <w:pPr>
        <w:pStyle w:val="6"/>
        <w:rPr>
          <w:rFonts w:hint="eastAsia" w:ascii="Arial" w:hAnsi="Arial" w:cs="Arial" w:eastAsiaTheme="minorEastAsia"/>
          <w:szCs w:val="20"/>
          <w:lang w:val="en-GB" w:eastAsia="zh-CN"/>
        </w:rPr>
      </w:pPr>
    </w:p>
    <w:p>
      <w:pPr>
        <w:pStyle w:val="6"/>
        <w:spacing w:before="120"/>
        <w:rPr>
          <w:bCs/>
        </w:rPr>
      </w:pPr>
      <w:r>
        <w:rPr>
          <w:rFonts w:hint="eastAsia" w:ascii="Arial" w:hAnsi="Arial" w:cs="Arial"/>
          <w:szCs w:val="20"/>
        </w:rPr>
        <w:t xml:space="preserve">In this contribution, we </w:t>
      </w:r>
      <w:r>
        <w:rPr>
          <w:rFonts w:hint="eastAsia" w:eastAsia="宋体" w:cs="Arial"/>
          <w:szCs w:val="20"/>
          <w:lang w:val="en-US" w:eastAsia="zh-CN"/>
        </w:rPr>
        <w:t>continue to discuss the Random Access for A-IoT</w:t>
      </w:r>
      <w:r>
        <w:rPr>
          <w:rFonts w:hint="eastAsia" w:ascii="Arial" w:hAnsi="Arial" w:cs="Arial"/>
          <w:szCs w:val="20"/>
        </w:rPr>
        <w:t>.</w:t>
      </w:r>
    </w:p>
    <w:p>
      <w:pPr>
        <w:pStyle w:val="2"/>
        <w:numPr>
          <w:ilvl w:val="0"/>
          <w:numId w:val="3"/>
        </w:numPr>
        <w:ind w:left="360" w:leftChars="0" w:hanging="360" w:firstLineChars="0"/>
        <w:rPr>
          <w:rFonts w:hint="default" w:eastAsia="宋体"/>
          <w:lang w:val="en-US" w:eastAsia="zh-CN"/>
        </w:rPr>
      </w:pPr>
      <w:r>
        <w:t>Discussion</w:t>
      </w:r>
    </w:p>
    <w:p>
      <w:pPr>
        <w:pStyle w:val="3"/>
        <w:keepNext/>
        <w:numPr>
          <w:ilvl w:val="-1"/>
          <w:numId w:val="0"/>
        </w:numPr>
        <w:tabs>
          <w:tab w:val="left" w:pos="851"/>
        </w:tabs>
        <w:ind w:left="0" w:firstLine="0"/>
        <w:rPr>
          <w:rFonts w:hint="default"/>
          <w:lang w:val="en-US" w:eastAsia="zh-CN"/>
        </w:rPr>
      </w:pPr>
      <w:r>
        <w:rPr>
          <w:rFonts w:hint="eastAsia"/>
          <w:lang w:val="en-US" w:eastAsia="zh-CN"/>
        </w:rPr>
        <w:t>2.1 A-IoT contention-free access procedure</w:t>
      </w:r>
    </w:p>
    <w:p>
      <w:pPr>
        <w:rPr>
          <w:rFonts w:hint="default" w:eastAsia="宋体"/>
          <w:sz w:val="20"/>
          <w:lang w:val="en-US" w:eastAsia="zh-CN"/>
        </w:rPr>
      </w:pPr>
      <w:r>
        <w:rPr>
          <w:rFonts w:hint="eastAsia" w:eastAsia="宋体" w:cs="Times New Roman"/>
          <w:sz w:val="20"/>
          <w:szCs w:val="24"/>
          <w:lang w:val="en-US" w:eastAsia="zh-CN" w:bidi="ar-SA"/>
        </w:rPr>
        <w:t xml:space="preserve">In last meeting the procedure of CFRA for AIoT device was discussed with which </w:t>
      </w:r>
      <w:r>
        <w:rPr>
          <w:rFonts w:hint="eastAsia" w:eastAsia="宋体"/>
          <w:lang w:val="en-US" w:eastAsia="zh-CN"/>
        </w:rPr>
        <w:t>t</w:t>
      </w:r>
      <w:r>
        <w:rPr>
          <w:rFonts w:hint="eastAsia"/>
        </w:rPr>
        <w:t>he device sends Device ID and/or any other upper layer dat</w:t>
      </w:r>
      <w:r>
        <w:rPr>
          <w:rFonts w:hint="eastAsia" w:eastAsia="宋体"/>
          <w:lang w:val="en-US" w:eastAsia="zh-CN"/>
        </w:rPr>
        <w:t xml:space="preserve">a in MSG1, the reader </w:t>
      </w:r>
      <w:r>
        <w:rPr>
          <w:rFonts w:hint="eastAsia"/>
        </w:rPr>
        <w:t>may echo some information from M</w:t>
      </w:r>
      <w:r>
        <w:rPr>
          <w:rFonts w:hint="eastAsia" w:eastAsia="宋体"/>
          <w:lang w:val="en-US" w:eastAsia="zh-CN"/>
        </w:rPr>
        <w:t>SG</w:t>
      </w:r>
      <w:r>
        <w:rPr>
          <w:rFonts w:hint="eastAsia"/>
        </w:rPr>
        <w:t>1</w:t>
      </w:r>
      <w:r>
        <w:rPr>
          <w:rFonts w:hint="eastAsia" w:eastAsia="宋体"/>
          <w:lang w:val="en-US" w:eastAsia="zh-CN"/>
        </w:rPr>
        <w:t xml:space="preserve"> in MSG2. For the </w:t>
      </w:r>
      <w:r>
        <w:t xml:space="preserve">contention-free access procedure </w:t>
      </w:r>
      <w:r>
        <w:rPr>
          <w:rFonts w:hint="eastAsia" w:eastAsia="宋体"/>
          <w:lang w:val="en-US" w:eastAsia="zh-CN"/>
        </w:rPr>
        <w:t xml:space="preserve">RAN2 </w:t>
      </w:r>
      <w:r>
        <w:t xml:space="preserve">will study </w:t>
      </w:r>
      <w:bookmarkStart w:id="1" w:name="OLE_LINK3"/>
      <w:r>
        <w:t>single and multi-device</w:t>
      </w:r>
      <w:bookmarkEnd w:id="1"/>
      <w:r>
        <w:t xml:space="preserve"> case</w:t>
      </w:r>
      <w:r>
        <w:rPr>
          <w:rFonts w:hint="eastAsia" w:eastAsia="宋体"/>
          <w:lang w:val="en-US" w:eastAsia="zh-CN"/>
        </w:rPr>
        <w:t xml:space="preserve">. For </w:t>
      </w:r>
      <w:r>
        <w:t>single and multi-device</w:t>
      </w:r>
      <w:r>
        <w:rPr>
          <w:rFonts w:hint="eastAsia" w:eastAsia="宋体"/>
          <w:lang w:val="en-US" w:eastAsia="zh-CN"/>
        </w:rPr>
        <w:t xml:space="preserve"> case,</w:t>
      </w:r>
      <w:r>
        <w:rPr>
          <w:rFonts w:hint="eastAsia" w:eastAsia="宋体"/>
          <w:sz w:val="20"/>
          <w:lang w:val="en-US" w:eastAsia="zh-CN"/>
        </w:rPr>
        <w:t xml:space="preserve"> as the number of devices is already known by the reader, when trigger the device to access, the corresponding access configuration can also be assigned to each device to increase efficiency, the access configuration can include time and frequency configuration.</w:t>
      </w:r>
    </w:p>
    <w:p>
      <w:pPr>
        <w:pStyle w:val="6"/>
        <w:keepNext w:val="0"/>
        <w:keepLines w:val="0"/>
        <w:pageBreakBefore w:val="0"/>
        <w:widowControl/>
        <w:kinsoku/>
        <w:wordWrap/>
        <w:overflowPunct/>
        <w:topLinePunct w:val="0"/>
        <w:autoSpaceDE/>
        <w:autoSpaceDN/>
        <w:bidi w:val="0"/>
        <w:adjustRightInd/>
        <w:snapToGrid/>
        <w:spacing w:after="313" w:afterLines="100" w:line="360" w:lineRule="auto"/>
        <w:textAlignment w:val="auto"/>
        <w:rPr>
          <w:rFonts w:hint="eastAsia" w:cs="Arial" w:eastAsiaTheme="minorEastAsia"/>
          <w:b/>
          <w:sz w:val="21"/>
          <w:szCs w:val="2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1</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The device id list and corresponding access configuration list can be included in the initial trigger message.</w:t>
      </w:r>
    </w:p>
    <w:p>
      <w:pPr>
        <w:pStyle w:val="3"/>
        <w:keepNext/>
        <w:numPr>
          <w:ilvl w:val="-1"/>
          <w:numId w:val="0"/>
        </w:numPr>
        <w:tabs>
          <w:tab w:val="left" w:pos="851"/>
        </w:tabs>
        <w:ind w:left="0" w:firstLine="0"/>
        <w:rPr>
          <w:rFonts w:hint="default"/>
          <w:lang w:val="en-US" w:eastAsia="zh-CN"/>
        </w:rPr>
      </w:pPr>
      <w:r>
        <w:rPr>
          <w:rFonts w:hint="eastAsia"/>
          <w:lang w:val="en-US" w:eastAsia="zh-CN"/>
        </w:rPr>
        <w:t>2.2 A-IoT Random access failure handling</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eastAsia="宋体"/>
          <w:b w:val="0"/>
          <w:bCs w:val="0"/>
          <w:lang w:val="en-US" w:eastAsia="zh-CN"/>
        </w:rPr>
      </w:pPr>
      <w:r>
        <w:rPr>
          <w:rFonts w:hint="eastAsia" w:ascii="Arial" w:hAnsi="Arial" w:eastAsia="宋体" w:cs="Times New Roman"/>
          <w:sz w:val="20"/>
          <w:szCs w:val="24"/>
          <w:lang w:val="en-US" w:eastAsia="zh-CN" w:bidi="ar-SA"/>
        </w:rPr>
        <w:t xml:space="preserve">If the </w:t>
      </w:r>
      <w:r>
        <w:rPr>
          <w:rFonts w:hint="eastAsia" w:eastAsia="宋体" w:cs="Times New Roman"/>
          <w:sz w:val="20"/>
          <w:szCs w:val="24"/>
          <w:lang w:val="en-US" w:eastAsia="zh-CN" w:bidi="ar-SA"/>
        </w:rPr>
        <w:t xml:space="preserve">triggered </w:t>
      </w:r>
      <w:r>
        <w:rPr>
          <w:rFonts w:hint="eastAsia" w:ascii="Arial" w:hAnsi="Arial" w:eastAsia="宋体" w:cs="Times New Roman"/>
          <w:sz w:val="20"/>
          <w:szCs w:val="24"/>
          <w:lang w:val="en-US" w:eastAsia="zh-CN" w:bidi="ar-SA"/>
        </w:rPr>
        <w:t xml:space="preserve">device access failed, the reader may meed to </w:t>
      </w:r>
      <w:r>
        <w:rPr>
          <w:rFonts w:hint="eastAsia" w:eastAsia="宋体" w:cs="Times New Roman"/>
          <w:sz w:val="20"/>
          <w:szCs w:val="24"/>
          <w:lang w:val="en-US" w:eastAsia="zh-CN" w:bidi="ar-SA"/>
        </w:rPr>
        <w:t>triggered</w:t>
      </w:r>
      <w:r>
        <w:rPr>
          <w:rFonts w:hint="eastAsia" w:ascii="Arial" w:hAnsi="Arial" w:eastAsia="宋体" w:cs="Times New Roman"/>
          <w:sz w:val="20"/>
          <w:szCs w:val="24"/>
          <w:lang w:val="en-US" w:eastAsia="zh-CN" w:bidi="ar-SA"/>
        </w:rPr>
        <w:t xml:space="preserve"> the device </w:t>
      </w:r>
      <w:r>
        <w:rPr>
          <w:rFonts w:hint="eastAsia" w:eastAsia="宋体" w:cs="Times New Roman"/>
          <w:sz w:val="20"/>
          <w:szCs w:val="24"/>
          <w:lang w:val="en-US" w:eastAsia="zh-CN" w:bidi="ar-SA"/>
        </w:rPr>
        <w:t xml:space="preserve">access </w:t>
      </w:r>
      <w:r>
        <w:rPr>
          <w:rFonts w:hint="eastAsia" w:ascii="Arial" w:hAnsi="Arial" w:eastAsia="宋体" w:cs="Times New Roman"/>
          <w:sz w:val="20"/>
          <w:szCs w:val="24"/>
          <w:lang w:val="en-US" w:eastAsia="zh-CN" w:bidi="ar-SA"/>
        </w:rPr>
        <w:t>again</w:t>
      </w:r>
      <w:r>
        <w:rPr>
          <w:rFonts w:hint="eastAsia" w:eastAsia="宋体" w:cs="Times New Roman"/>
          <w:sz w:val="20"/>
          <w:szCs w:val="24"/>
          <w:lang w:val="en-US" w:eastAsia="zh-CN" w:bidi="ar-SA"/>
        </w:rPr>
        <w:t xml:space="preserve"> which may not efficient. In legacy RACH procedure, the UE can re-try access using the RACH resources provided in SIB if RACH failed. For AIoT system the re-try access mechanism can be reused. However as the periodical system information is not supported by AIoT devices, the retry access configuration can be provided in the trigger message. If the devices being triggered access failed, it can re-try access using the retry access configuration without the reader re-initiated trigger. And the reader can limited the re-try times and provides the corresponding amount of retry access configuration.</w:t>
      </w:r>
      <w:r>
        <w:rPr>
          <w:rFonts w:hint="eastAsia" w:eastAsia="宋体"/>
          <w:b w:val="0"/>
          <w:bCs w:val="0"/>
          <w:lang w:val="en-US" w:eastAsia="zh-CN"/>
        </w:rPr>
        <w:t>To save resources, the retry access configuration can be shared by devices.</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eastAsia="宋体"/>
          <w:b w:val="0"/>
          <w:bCs w:val="0"/>
          <w:lang w:val="en-US" w:eastAsia="zh-CN"/>
        </w:rPr>
      </w:pPr>
      <w:bookmarkStart w:id="2" w:name="OLE_LINK2"/>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2</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The retry access configuration can be provided in the trigger message for the failed access device to retry access without the reader re-initiated trigger.</w:t>
      </w:r>
      <w:bookmarkEnd w:id="2"/>
    </w:p>
    <w:p>
      <w:pPr>
        <w:numPr>
          <w:ilvl w:val="0"/>
          <w:numId w:val="0"/>
        </w:numPr>
        <w:ind w:leftChars="0"/>
        <w:jc w:val="both"/>
        <w:rPr>
          <w:rFonts w:hint="default" w:eastAsia="宋体"/>
          <w:b w:val="0"/>
          <w:bCs w:val="0"/>
          <w:lang w:val="en-US" w:eastAsia="zh-CN"/>
        </w:rPr>
      </w:pPr>
    </w:p>
    <w:p>
      <w:pPr>
        <w:pStyle w:val="2"/>
        <w:numPr>
          <w:ilvl w:val="0"/>
          <w:numId w:val="0"/>
        </w:numPr>
        <w:tabs>
          <w:tab w:val="clear" w:pos="432"/>
        </w:tabs>
        <w:ind w:leftChars="0"/>
        <w:jc w:val="both"/>
      </w:pPr>
      <w:r>
        <w:rPr>
          <w:rFonts w:hint="eastAsia" w:eastAsia="宋体"/>
          <w:lang w:val="en-US" w:eastAsia="zh-CN"/>
        </w:rPr>
        <w:t xml:space="preserve">3 </w:t>
      </w:r>
      <w:r>
        <w:t xml:space="preserve">Conclusions </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 xml:space="preserve">In this contribution we discussed issues related to </w:t>
      </w:r>
      <w:r>
        <w:rPr>
          <w:rFonts w:hint="eastAsia" w:ascii="Times New Roman" w:hAnsi="Times New Roman" w:eastAsia="宋体" w:cs="Times New Roman"/>
          <w:color w:val="000000" w:themeColor="text1"/>
          <w:lang w:val="en-US" w:eastAsia="zh-CN"/>
          <w14:textFill>
            <w14:solidFill>
              <w14:schemeClr w14:val="tx1"/>
            </w14:solidFill>
          </w14:textFill>
        </w:rPr>
        <w:t>A-IoT Random Access</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6"/>
        <w:keepNext w:val="0"/>
        <w:keepLines w:val="0"/>
        <w:pageBreakBefore w:val="0"/>
        <w:widowControl/>
        <w:kinsoku/>
        <w:wordWrap/>
        <w:overflowPunct/>
        <w:topLinePunct w:val="0"/>
        <w:autoSpaceDE/>
        <w:autoSpaceDN/>
        <w:bidi w:val="0"/>
        <w:adjustRightInd/>
        <w:snapToGrid/>
        <w:spacing w:after="313" w:afterLines="100" w:line="360" w:lineRule="auto"/>
        <w:textAlignment w:val="auto"/>
        <w:rPr>
          <w:rFonts w:hint="eastAsia" w:cs="Arial" w:eastAsiaTheme="minorEastAsia"/>
          <w:b/>
          <w:sz w:val="21"/>
          <w:szCs w:val="2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1</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The device id list and corresponding access configuration list can be included in the initial trigger message.</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cs="Arial" w:eastAsiaTheme="minorEastAsia"/>
          <w:b/>
          <w:sz w:val="21"/>
          <w:szCs w:val="20"/>
          <w:lang w:val="en-GB"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2</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The retry access configuration can be provided in the trigger message for the failed access device to retry access without the reader re-initiated trigger.</w:t>
      </w:r>
    </w:p>
    <w:p>
      <w:pPr>
        <w:pStyle w:val="2"/>
        <w:numPr>
          <w:ilvl w:val="0"/>
          <w:numId w:val="0"/>
        </w:numPr>
        <w:tabs>
          <w:tab w:val="clear" w:pos="432"/>
        </w:tabs>
        <w:ind w:leftChars="0"/>
        <w:jc w:val="both"/>
      </w:pPr>
      <w:r>
        <w:rPr>
          <w:rFonts w:hint="eastAsia" w:eastAsia="宋体"/>
          <w:lang w:val="en-US" w:eastAsia="zh-CN"/>
        </w:rPr>
        <w:t xml:space="preserve">4 </w:t>
      </w:r>
      <w:r>
        <w:rPr>
          <w:rFonts w:hint="eastAsia"/>
        </w:rPr>
        <w:t>References</w:t>
      </w:r>
    </w:p>
    <w:p>
      <w:pPr>
        <w:pStyle w:val="6"/>
        <w:numPr>
          <w:ilvl w:val="0"/>
          <w:numId w:val="4"/>
        </w:numPr>
        <w:spacing w:after="0"/>
        <w:jc w:val="both"/>
        <w:rPr>
          <w:rFonts w:hint="default"/>
          <w:sz w:val="22"/>
          <w:szCs w:val="22"/>
          <w:lang w:val="en-US"/>
        </w:rPr>
      </w:pPr>
      <w:r>
        <w:rPr>
          <w:rFonts w:hint="default" w:eastAsia="宋体"/>
          <w:sz w:val="22"/>
          <w:szCs w:val="22"/>
          <w:lang w:val="en-US" w:eastAsia="zh-CN"/>
        </w:rPr>
        <w:t>“Draft_R</w:t>
      </w:r>
      <w:r>
        <w:rPr>
          <w:rFonts w:hint="eastAsia" w:eastAsia="宋体"/>
          <w:sz w:val="22"/>
          <w:szCs w:val="22"/>
          <w:lang w:val="en-US" w:eastAsia="zh-CN"/>
        </w:rPr>
        <w:t>AN</w:t>
      </w:r>
      <w:r>
        <w:rPr>
          <w:rFonts w:hint="default" w:eastAsia="宋体"/>
          <w:sz w:val="22"/>
          <w:szCs w:val="22"/>
          <w:lang w:val="en-US" w:eastAsia="zh-CN"/>
        </w:rPr>
        <w:t>2_12</w:t>
      </w:r>
      <w:r>
        <w:rPr>
          <w:rFonts w:hint="eastAsia" w:eastAsia="宋体"/>
          <w:sz w:val="22"/>
          <w:szCs w:val="22"/>
          <w:lang w:val="en-US" w:eastAsia="zh-CN"/>
        </w:rPr>
        <w:t>7</w:t>
      </w:r>
      <w:r>
        <w:rPr>
          <w:rFonts w:hint="default" w:eastAsia="宋体"/>
          <w:sz w:val="22"/>
          <w:szCs w:val="22"/>
          <w:lang w:val="en-US" w:eastAsia="zh-CN"/>
        </w:rPr>
        <w:t>_Meeting_Report_v1”</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2" w:usb3="00000000" w:csb0="4002009F" w:csb1="DFD70000"/>
  </w:font>
  <w:font w:name="Century">
    <w:panose1 w:val="02040604050505020304"/>
    <w:charset w:val="00"/>
    <w:family w:val="auto"/>
    <w:pitch w:val="default"/>
    <w:sig w:usb0="00000287" w:usb1="00000000" w:usb2="00000000" w:usb3="00000000" w:csb0="2000009F" w:csb1="DFD70000"/>
  </w:font>
  <w:font w:name="Segoe UI">
    <w:panose1 w:val="020B05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864" w:hanging="432"/>
      </w:pPr>
      <w:rPr>
        <w:rFonts w:hint="default"/>
      </w:rPr>
    </w:lvl>
    <w:lvl w:ilvl="1" w:tentative="0">
      <w:start w:val="1"/>
      <w:numFmt w:val="decimal"/>
      <w:lvlText w:val="%1.%2"/>
      <w:lvlJc w:val="left"/>
      <w:pPr>
        <w:tabs>
          <w:tab w:val="left" w:pos="576"/>
        </w:tabs>
        <w:ind w:left="1008" w:hanging="576"/>
      </w:pPr>
      <w:rPr>
        <w:rFonts w:hint="default"/>
      </w:rPr>
    </w:lvl>
    <w:lvl w:ilvl="2" w:tentative="0">
      <w:start w:val="1"/>
      <w:numFmt w:val="decimal"/>
      <w:lvlText w:val="%1.%2.%3"/>
      <w:lvlJc w:val="left"/>
      <w:pPr>
        <w:tabs>
          <w:tab w:val="left" w:pos="720"/>
        </w:tabs>
        <w:ind w:left="1152" w:hanging="720"/>
      </w:pPr>
      <w:rPr>
        <w:rFonts w:hint="default"/>
      </w:rPr>
    </w:lvl>
    <w:lvl w:ilvl="3" w:tentative="0">
      <w:start w:val="1"/>
      <w:numFmt w:val="decimal"/>
      <w:lvlText w:val="%1.%2.%3.%4"/>
      <w:lvlJc w:val="left"/>
      <w:pPr>
        <w:tabs>
          <w:tab w:val="left" w:pos="864"/>
        </w:tabs>
        <w:ind w:left="1296" w:hanging="864"/>
      </w:pPr>
      <w:rPr>
        <w:rFonts w:hint="default"/>
      </w:rPr>
    </w:lvl>
    <w:lvl w:ilvl="4" w:tentative="0">
      <w:start w:val="1"/>
      <w:numFmt w:val="decimal"/>
      <w:lvlText w:val="%1.%2.%3.%4.%5"/>
      <w:lvlJc w:val="left"/>
      <w:pPr>
        <w:tabs>
          <w:tab w:val="left" w:pos="1008"/>
        </w:tabs>
        <w:ind w:left="1440" w:hanging="1008"/>
      </w:pPr>
      <w:rPr>
        <w:rFonts w:hint="default"/>
      </w:rPr>
    </w:lvl>
    <w:lvl w:ilvl="5" w:tentative="0">
      <w:start w:val="1"/>
      <w:numFmt w:val="decimal"/>
      <w:lvlText w:val="%1.%2.%3.%4.%5.%6"/>
      <w:lvlJc w:val="left"/>
      <w:pPr>
        <w:tabs>
          <w:tab w:val="left" w:pos="1152"/>
        </w:tabs>
        <w:ind w:left="1584" w:hanging="1152"/>
      </w:pPr>
      <w:rPr>
        <w:rFonts w:hint="default"/>
      </w:rPr>
    </w:lvl>
    <w:lvl w:ilvl="6" w:tentative="0">
      <w:start w:val="1"/>
      <w:numFmt w:val="decimal"/>
      <w:lvlText w:val="%1.%2.%3.%4.%5.%6.%7"/>
      <w:lvlJc w:val="left"/>
      <w:pPr>
        <w:tabs>
          <w:tab w:val="left" w:pos="1296"/>
        </w:tabs>
        <w:ind w:left="1728" w:hanging="1296"/>
      </w:pPr>
      <w:rPr>
        <w:rFonts w:hint="default"/>
      </w:rPr>
    </w:lvl>
    <w:lvl w:ilvl="7" w:tentative="0">
      <w:start w:val="1"/>
      <w:numFmt w:val="decimal"/>
      <w:lvlText w:val="%1.%2.%3.%4.%5.%6.%7.%8"/>
      <w:lvlJc w:val="left"/>
      <w:pPr>
        <w:tabs>
          <w:tab w:val="left" w:pos="1440"/>
        </w:tabs>
        <w:ind w:left="1872" w:hanging="1440"/>
      </w:pPr>
      <w:rPr>
        <w:rFonts w:hint="default"/>
      </w:rPr>
    </w:lvl>
    <w:lvl w:ilvl="8" w:tentative="0">
      <w:start w:val="1"/>
      <w:numFmt w:val="decimal"/>
      <w:lvlText w:val="%1.%2.%3.%4.%5.%6.%7.%8.%9"/>
      <w:lvlJc w:val="left"/>
      <w:pPr>
        <w:tabs>
          <w:tab w:val="left" w:pos="1584"/>
        </w:tabs>
        <w:ind w:left="2016" w:hanging="1584"/>
      </w:pPr>
      <w:rPr>
        <w:rFonts w:hint="default"/>
      </w:rPr>
    </w:lvl>
  </w:abstractNum>
  <w:abstractNum w:abstractNumId="1">
    <w:nsid w:val="70146DC0"/>
    <w:multiLevelType w:val="multilevel"/>
    <w:tmpl w:val="70146DC0"/>
    <w:lvl w:ilvl="0" w:tentative="0">
      <w:start w:val="1"/>
      <w:numFmt w:val="bullet"/>
      <w:pStyle w:val="1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2">
    <w:nsid w:val="75627DDD"/>
    <w:multiLevelType w:val="multilevel"/>
    <w:tmpl w:val="75627DDD"/>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C5978"/>
    <w:rsid w:val="00AA687A"/>
    <w:rsid w:val="00D10BDD"/>
    <w:rsid w:val="00E21B0B"/>
    <w:rsid w:val="00E72B48"/>
    <w:rsid w:val="016D2429"/>
    <w:rsid w:val="017625C7"/>
    <w:rsid w:val="01BC413C"/>
    <w:rsid w:val="026B101C"/>
    <w:rsid w:val="026D6078"/>
    <w:rsid w:val="0278364B"/>
    <w:rsid w:val="02F16840"/>
    <w:rsid w:val="03FA4B3F"/>
    <w:rsid w:val="0441406B"/>
    <w:rsid w:val="049342E7"/>
    <w:rsid w:val="04A63BBE"/>
    <w:rsid w:val="04BA00BC"/>
    <w:rsid w:val="05A17499"/>
    <w:rsid w:val="05F02177"/>
    <w:rsid w:val="063E6DCB"/>
    <w:rsid w:val="06AD14D1"/>
    <w:rsid w:val="0729485D"/>
    <w:rsid w:val="074434AD"/>
    <w:rsid w:val="077E1DF5"/>
    <w:rsid w:val="085761BC"/>
    <w:rsid w:val="08705469"/>
    <w:rsid w:val="0871778C"/>
    <w:rsid w:val="08CB3099"/>
    <w:rsid w:val="09242B66"/>
    <w:rsid w:val="09AA20D3"/>
    <w:rsid w:val="09C8159B"/>
    <w:rsid w:val="0A083CCF"/>
    <w:rsid w:val="0A296EBB"/>
    <w:rsid w:val="0B5A15F4"/>
    <w:rsid w:val="0C480592"/>
    <w:rsid w:val="0C8A04EF"/>
    <w:rsid w:val="0C8B3F6C"/>
    <w:rsid w:val="0CDF38AA"/>
    <w:rsid w:val="0CFB2676"/>
    <w:rsid w:val="0D086537"/>
    <w:rsid w:val="0D245A9E"/>
    <w:rsid w:val="0D6C62FD"/>
    <w:rsid w:val="0D701E08"/>
    <w:rsid w:val="0D840B99"/>
    <w:rsid w:val="0DAF7C6F"/>
    <w:rsid w:val="0EE73CC1"/>
    <w:rsid w:val="0F054467"/>
    <w:rsid w:val="0F711142"/>
    <w:rsid w:val="0F846F16"/>
    <w:rsid w:val="0F970BC8"/>
    <w:rsid w:val="0FF1497D"/>
    <w:rsid w:val="102E458D"/>
    <w:rsid w:val="10664121"/>
    <w:rsid w:val="107078FB"/>
    <w:rsid w:val="10D97A01"/>
    <w:rsid w:val="10F5590A"/>
    <w:rsid w:val="10F9442F"/>
    <w:rsid w:val="110E3FBC"/>
    <w:rsid w:val="12236DB0"/>
    <w:rsid w:val="1259446D"/>
    <w:rsid w:val="12CA4226"/>
    <w:rsid w:val="134C4354"/>
    <w:rsid w:val="13D7274C"/>
    <w:rsid w:val="142030D3"/>
    <w:rsid w:val="14EE3856"/>
    <w:rsid w:val="151764BF"/>
    <w:rsid w:val="152D3A5B"/>
    <w:rsid w:val="16162911"/>
    <w:rsid w:val="161A2980"/>
    <w:rsid w:val="16231D84"/>
    <w:rsid w:val="166A6E0A"/>
    <w:rsid w:val="16AF5E9F"/>
    <w:rsid w:val="16FF7648"/>
    <w:rsid w:val="172B15A5"/>
    <w:rsid w:val="17A24952"/>
    <w:rsid w:val="17AE7B7C"/>
    <w:rsid w:val="17C0415C"/>
    <w:rsid w:val="17E44D5C"/>
    <w:rsid w:val="1813767B"/>
    <w:rsid w:val="18891BE5"/>
    <w:rsid w:val="18C4408C"/>
    <w:rsid w:val="18FE5245"/>
    <w:rsid w:val="19033124"/>
    <w:rsid w:val="190C3624"/>
    <w:rsid w:val="190D1A9F"/>
    <w:rsid w:val="19120992"/>
    <w:rsid w:val="192B61EE"/>
    <w:rsid w:val="19CF1F1C"/>
    <w:rsid w:val="19FC3902"/>
    <w:rsid w:val="1B0106E1"/>
    <w:rsid w:val="1B4F2E04"/>
    <w:rsid w:val="1B5D02DF"/>
    <w:rsid w:val="1B7F05AA"/>
    <w:rsid w:val="1BB5656E"/>
    <w:rsid w:val="1C651C0C"/>
    <w:rsid w:val="1D5C422C"/>
    <w:rsid w:val="1D72553F"/>
    <w:rsid w:val="1D9D4FE7"/>
    <w:rsid w:val="1DB61295"/>
    <w:rsid w:val="1E7A7055"/>
    <w:rsid w:val="1E837BE2"/>
    <w:rsid w:val="1FF75154"/>
    <w:rsid w:val="205D2601"/>
    <w:rsid w:val="20EA0B5E"/>
    <w:rsid w:val="21150F4A"/>
    <w:rsid w:val="21272772"/>
    <w:rsid w:val="217D10FE"/>
    <w:rsid w:val="218C3C37"/>
    <w:rsid w:val="21A07045"/>
    <w:rsid w:val="21DC5F44"/>
    <w:rsid w:val="21EA7E73"/>
    <w:rsid w:val="22846486"/>
    <w:rsid w:val="22927389"/>
    <w:rsid w:val="22E661B8"/>
    <w:rsid w:val="22ED4EA9"/>
    <w:rsid w:val="2311372E"/>
    <w:rsid w:val="23313175"/>
    <w:rsid w:val="236F4355"/>
    <w:rsid w:val="24980A44"/>
    <w:rsid w:val="24F831F6"/>
    <w:rsid w:val="253A0CB4"/>
    <w:rsid w:val="253F3B36"/>
    <w:rsid w:val="255A0D1D"/>
    <w:rsid w:val="258E2521"/>
    <w:rsid w:val="25A657FD"/>
    <w:rsid w:val="25BC78D5"/>
    <w:rsid w:val="25C95136"/>
    <w:rsid w:val="25DF25F3"/>
    <w:rsid w:val="25E27EEA"/>
    <w:rsid w:val="2653352F"/>
    <w:rsid w:val="26F5334E"/>
    <w:rsid w:val="27264053"/>
    <w:rsid w:val="273F71A1"/>
    <w:rsid w:val="275F2582"/>
    <w:rsid w:val="276944B2"/>
    <w:rsid w:val="287B00A7"/>
    <w:rsid w:val="2941444C"/>
    <w:rsid w:val="29523E43"/>
    <w:rsid w:val="2982756F"/>
    <w:rsid w:val="299E3F8A"/>
    <w:rsid w:val="2ABE6C52"/>
    <w:rsid w:val="2ABF7B59"/>
    <w:rsid w:val="2B1B06C1"/>
    <w:rsid w:val="2B1B574F"/>
    <w:rsid w:val="2B214053"/>
    <w:rsid w:val="2BAE0628"/>
    <w:rsid w:val="2C151E25"/>
    <w:rsid w:val="2C882B47"/>
    <w:rsid w:val="2CFA3372"/>
    <w:rsid w:val="2D64575D"/>
    <w:rsid w:val="2ECA078E"/>
    <w:rsid w:val="2EDC2122"/>
    <w:rsid w:val="2EEC38EF"/>
    <w:rsid w:val="2F264722"/>
    <w:rsid w:val="2F34150A"/>
    <w:rsid w:val="2F4F1C42"/>
    <w:rsid w:val="2F56237C"/>
    <w:rsid w:val="2FCB0EFA"/>
    <w:rsid w:val="3038562B"/>
    <w:rsid w:val="306127E8"/>
    <w:rsid w:val="307C700A"/>
    <w:rsid w:val="30F35CF8"/>
    <w:rsid w:val="31111AB1"/>
    <w:rsid w:val="314E2B20"/>
    <w:rsid w:val="315E520F"/>
    <w:rsid w:val="3168677E"/>
    <w:rsid w:val="319D2E0A"/>
    <w:rsid w:val="31F027DF"/>
    <w:rsid w:val="321F3E3D"/>
    <w:rsid w:val="329F15E7"/>
    <w:rsid w:val="32BB6C22"/>
    <w:rsid w:val="33031B19"/>
    <w:rsid w:val="33DE5E56"/>
    <w:rsid w:val="34682BF9"/>
    <w:rsid w:val="34FC34CD"/>
    <w:rsid w:val="354C6CDB"/>
    <w:rsid w:val="35592207"/>
    <w:rsid w:val="36040465"/>
    <w:rsid w:val="36913EB9"/>
    <w:rsid w:val="36E43987"/>
    <w:rsid w:val="37F326F9"/>
    <w:rsid w:val="381758AE"/>
    <w:rsid w:val="38263F63"/>
    <w:rsid w:val="38277C4F"/>
    <w:rsid w:val="387554D3"/>
    <w:rsid w:val="3885080A"/>
    <w:rsid w:val="38A038DB"/>
    <w:rsid w:val="38AA0169"/>
    <w:rsid w:val="38B33F69"/>
    <w:rsid w:val="39E010B6"/>
    <w:rsid w:val="39EF7A8E"/>
    <w:rsid w:val="3A34153B"/>
    <w:rsid w:val="3A3F7324"/>
    <w:rsid w:val="3A7C338E"/>
    <w:rsid w:val="3AC13929"/>
    <w:rsid w:val="3B026B89"/>
    <w:rsid w:val="3B7F12E7"/>
    <w:rsid w:val="3BC407B7"/>
    <w:rsid w:val="3BD561D8"/>
    <w:rsid w:val="3BE31C32"/>
    <w:rsid w:val="3BE67712"/>
    <w:rsid w:val="3C752CAA"/>
    <w:rsid w:val="3C872072"/>
    <w:rsid w:val="3C93695A"/>
    <w:rsid w:val="3CCF2B82"/>
    <w:rsid w:val="3D064EB3"/>
    <w:rsid w:val="3ED738D3"/>
    <w:rsid w:val="3F3A2108"/>
    <w:rsid w:val="3F3C3648"/>
    <w:rsid w:val="402D6EED"/>
    <w:rsid w:val="40572BA6"/>
    <w:rsid w:val="40575782"/>
    <w:rsid w:val="405B3D86"/>
    <w:rsid w:val="40987E39"/>
    <w:rsid w:val="41042A00"/>
    <w:rsid w:val="41A229C0"/>
    <w:rsid w:val="41FA152C"/>
    <w:rsid w:val="421B5540"/>
    <w:rsid w:val="427F40C3"/>
    <w:rsid w:val="433F51D5"/>
    <w:rsid w:val="4379118C"/>
    <w:rsid w:val="43F1148F"/>
    <w:rsid w:val="440B0F36"/>
    <w:rsid w:val="446E3F52"/>
    <w:rsid w:val="44724F1D"/>
    <w:rsid w:val="448E1E9E"/>
    <w:rsid w:val="44D90FC8"/>
    <w:rsid w:val="44DD285F"/>
    <w:rsid w:val="44F70184"/>
    <w:rsid w:val="45052547"/>
    <w:rsid w:val="45581B60"/>
    <w:rsid w:val="45982D3F"/>
    <w:rsid w:val="45AE5EB3"/>
    <w:rsid w:val="466B78DE"/>
    <w:rsid w:val="47755220"/>
    <w:rsid w:val="47B4251A"/>
    <w:rsid w:val="47B61984"/>
    <w:rsid w:val="47CC5B84"/>
    <w:rsid w:val="48224C4E"/>
    <w:rsid w:val="48771FF6"/>
    <w:rsid w:val="48BA6772"/>
    <w:rsid w:val="48D47265"/>
    <w:rsid w:val="497A2805"/>
    <w:rsid w:val="49894B23"/>
    <w:rsid w:val="49AD48BF"/>
    <w:rsid w:val="4A133AA2"/>
    <w:rsid w:val="4A212B31"/>
    <w:rsid w:val="4A467C94"/>
    <w:rsid w:val="4A475B7C"/>
    <w:rsid w:val="4A4C681A"/>
    <w:rsid w:val="4A892E1A"/>
    <w:rsid w:val="4BA75289"/>
    <w:rsid w:val="4CA501B4"/>
    <w:rsid w:val="4CEB6606"/>
    <w:rsid w:val="4D0F61E3"/>
    <w:rsid w:val="4DBA64D0"/>
    <w:rsid w:val="4DC01E5E"/>
    <w:rsid w:val="4DE56289"/>
    <w:rsid w:val="4E5308E7"/>
    <w:rsid w:val="4EF2504D"/>
    <w:rsid w:val="4F305F01"/>
    <w:rsid w:val="4FC5637B"/>
    <w:rsid w:val="4FE74116"/>
    <w:rsid w:val="50486FE9"/>
    <w:rsid w:val="505952FE"/>
    <w:rsid w:val="505D4828"/>
    <w:rsid w:val="512637BE"/>
    <w:rsid w:val="51292B01"/>
    <w:rsid w:val="512C578B"/>
    <w:rsid w:val="513F69E1"/>
    <w:rsid w:val="52731D06"/>
    <w:rsid w:val="529A7957"/>
    <w:rsid w:val="53EA6F9A"/>
    <w:rsid w:val="53F070C1"/>
    <w:rsid w:val="545D2BA8"/>
    <w:rsid w:val="54A934E9"/>
    <w:rsid w:val="54F44BA6"/>
    <w:rsid w:val="55983F91"/>
    <w:rsid w:val="55B4202C"/>
    <w:rsid w:val="55C500DF"/>
    <w:rsid w:val="55DA4CD9"/>
    <w:rsid w:val="56870F30"/>
    <w:rsid w:val="569228A9"/>
    <w:rsid w:val="56F007AB"/>
    <w:rsid w:val="5731633C"/>
    <w:rsid w:val="583140F1"/>
    <w:rsid w:val="58774338"/>
    <w:rsid w:val="58DD1878"/>
    <w:rsid w:val="58E619F6"/>
    <w:rsid w:val="59BE34E8"/>
    <w:rsid w:val="5A0B65E0"/>
    <w:rsid w:val="5A4B4D4E"/>
    <w:rsid w:val="5A6C32D7"/>
    <w:rsid w:val="5AA50E0C"/>
    <w:rsid w:val="5B854011"/>
    <w:rsid w:val="5BCF629C"/>
    <w:rsid w:val="5C081964"/>
    <w:rsid w:val="5C5D662E"/>
    <w:rsid w:val="5C7E09C3"/>
    <w:rsid w:val="5D1B6016"/>
    <w:rsid w:val="5D53233E"/>
    <w:rsid w:val="5D54635C"/>
    <w:rsid w:val="5D5B1B63"/>
    <w:rsid w:val="5D663CA7"/>
    <w:rsid w:val="5E032063"/>
    <w:rsid w:val="5E0C53FA"/>
    <w:rsid w:val="5E3C4F06"/>
    <w:rsid w:val="5E660896"/>
    <w:rsid w:val="5EA25936"/>
    <w:rsid w:val="5EE34F16"/>
    <w:rsid w:val="5EF55435"/>
    <w:rsid w:val="5EF7417A"/>
    <w:rsid w:val="5F313438"/>
    <w:rsid w:val="5F3A2579"/>
    <w:rsid w:val="5FB546F2"/>
    <w:rsid w:val="5FBE6E63"/>
    <w:rsid w:val="60507E6D"/>
    <w:rsid w:val="6090406B"/>
    <w:rsid w:val="61662F00"/>
    <w:rsid w:val="61B805F3"/>
    <w:rsid w:val="6227137B"/>
    <w:rsid w:val="62750521"/>
    <w:rsid w:val="62E378E6"/>
    <w:rsid w:val="63107C4E"/>
    <w:rsid w:val="636359AC"/>
    <w:rsid w:val="64082F38"/>
    <w:rsid w:val="64246DD5"/>
    <w:rsid w:val="64376585"/>
    <w:rsid w:val="643816EF"/>
    <w:rsid w:val="6442112C"/>
    <w:rsid w:val="646D6FF1"/>
    <w:rsid w:val="64CC3670"/>
    <w:rsid w:val="64D627EE"/>
    <w:rsid w:val="64E400F0"/>
    <w:rsid w:val="65372D6A"/>
    <w:rsid w:val="655855F6"/>
    <w:rsid w:val="6574461E"/>
    <w:rsid w:val="65A33A9F"/>
    <w:rsid w:val="65C620D8"/>
    <w:rsid w:val="662919EF"/>
    <w:rsid w:val="662D4756"/>
    <w:rsid w:val="668F0881"/>
    <w:rsid w:val="66ED123D"/>
    <w:rsid w:val="66EE5EB2"/>
    <w:rsid w:val="67501472"/>
    <w:rsid w:val="67526135"/>
    <w:rsid w:val="676E35D8"/>
    <w:rsid w:val="6770270C"/>
    <w:rsid w:val="67E57609"/>
    <w:rsid w:val="67FC5648"/>
    <w:rsid w:val="68136DF9"/>
    <w:rsid w:val="68467009"/>
    <w:rsid w:val="685A4CFC"/>
    <w:rsid w:val="68835C7D"/>
    <w:rsid w:val="68843869"/>
    <w:rsid w:val="68B056ED"/>
    <w:rsid w:val="68D74AB5"/>
    <w:rsid w:val="69957377"/>
    <w:rsid w:val="6A1D554E"/>
    <w:rsid w:val="6A227A14"/>
    <w:rsid w:val="6A2A1BFB"/>
    <w:rsid w:val="6A9A28DD"/>
    <w:rsid w:val="6B230E25"/>
    <w:rsid w:val="6B4A68F5"/>
    <w:rsid w:val="6B5F3459"/>
    <w:rsid w:val="6BBD35E1"/>
    <w:rsid w:val="6BD84F85"/>
    <w:rsid w:val="6D186743"/>
    <w:rsid w:val="6D657093"/>
    <w:rsid w:val="6D912D15"/>
    <w:rsid w:val="6DB773DA"/>
    <w:rsid w:val="6DC32F00"/>
    <w:rsid w:val="6DF3417E"/>
    <w:rsid w:val="6F7A7829"/>
    <w:rsid w:val="6F8945E5"/>
    <w:rsid w:val="7000610B"/>
    <w:rsid w:val="701647AB"/>
    <w:rsid w:val="70DA0C2F"/>
    <w:rsid w:val="70F449A8"/>
    <w:rsid w:val="71526A6E"/>
    <w:rsid w:val="71E9466D"/>
    <w:rsid w:val="728F5634"/>
    <w:rsid w:val="72DA7BC8"/>
    <w:rsid w:val="732F74F2"/>
    <w:rsid w:val="733629F2"/>
    <w:rsid w:val="73510555"/>
    <w:rsid w:val="736B747C"/>
    <w:rsid w:val="736F3978"/>
    <w:rsid w:val="7377058B"/>
    <w:rsid w:val="739F626B"/>
    <w:rsid w:val="740E42DE"/>
    <w:rsid w:val="744E78C9"/>
    <w:rsid w:val="74FE2154"/>
    <w:rsid w:val="7541042C"/>
    <w:rsid w:val="755D5E57"/>
    <w:rsid w:val="758B55DE"/>
    <w:rsid w:val="75AB68F1"/>
    <w:rsid w:val="75D904B6"/>
    <w:rsid w:val="75E80709"/>
    <w:rsid w:val="762B57C5"/>
    <w:rsid w:val="767E3B53"/>
    <w:rsid w:val="76A019F5"/>
    <w:rsid w:val="76C51939"/>
    <w:rsid w:val="77C3371E"/>
    <w:rsid w:val="77E058FB"/>
    <w:rsid w:val="78071F72"/>
    <w:rsid w:val="781B1DA5"/>
    <w:rsid w:val="786414B4"/>
    <w:rsid w:val="78774C15"/>
    <w:rsid w:val="78827AE1"/>
    <w:rsid w:val="78AE26CF"/>
    <w:rsid w:val="799465E1"/>
    <w:rsid w:val="79A36E38"/>
    <w:rsid w:val="79AD14BA"/>
    <w:rsid w:val="79D35A65"/>
    <w:rsid w:val="79DF4049"/>
    <w:rsid w:val="7A102ABD"/>
    <w:rsid w:val="7A2F2424"/>
    <w:rsid w:val="7B24076C"/>
    <w:rsid w:val="7B764BBF"/>
    <w:rsid w:val="7B7A37E2"/>
    <w:rsid w:val="7B84483F"/>
    <w:rsid w:val="7C1164A2"/>
    <w:rsid w:val="7C5B2870"/>
    <w:rsid w:val="7CB960BC"/>
    <w:rsid w:val="7D3C12C6"/>
    <w:rsid w:val="7D876979"/>
    <w:rsid w:val="7DCB2B8A"/>
    <w:rsid w:val="7DDD21DB"/>
    <w:rsid w:val="7EA24DF3"/>
    <w:rsid w:val="7EAD531F"/>
    <w:rsid w:val="7EB6157B"/>
    <w:rsid w:val="7EC76F8B"/>
    <w:rsid w:val="7ED27CCA"/>
    <w:rsid w:val="7F25430C"/>
    <w:rsid w:val="7F742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pPr>
    <w:rPr>
      <w:rFonts w:ascii="Arial" w:hAnsi="Arial" w:eastAsia="MS Mincho" w:cs="Times New Roman"/>
      <w:szCs w:val="24"/>
      <w:lang w:val="en-GB" w:eastAsia="en-GB" w:bidi="ar-SA"/>
    </w:rPr>
  </w:style>
  <w:style w:type="paragraph" w:styleId="2">
    <w:name w:val="heading 1"/>
    <w:basedOn w:val="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rFonts w:eastAsia="宋体"/>
      <w:sz w:val="32"/>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List 2"/>
    <w:basedOn w:val="1"/>
    <w:qFormat/>
    <w:uiPriority w:val="0"/>
    <w:pPr>
      <w:ind w:left="100" w:leftChars="200" w:hanging="200" w:hangingChars="200"/>
      <w:contextualSpacing/>
    </w:pPr>
  </w:style>
  <w:style w:type="paragraph" w:styleId="8">
    <w:name w:val="header"/>
    <w:basedOn w:val="1"/>
    <w:qFormat/>
    <w:uiPriority w:val="99"/>
    <w:pPr>
      <w:widowControl w:val="0"/>
      <w:tabs>
        <w:tab w:val="left" w:pos="1701"/>
        <w:tab w:val="right" w:pos="9923"/>
      </w:tabs>
      <w:spacing w:before="120"/>
    </w:pPr>
    <w:rPr>
      <w:b/>
      <w:sz w:val="24"/>
      <w:lang w:val="de-DE" w:eastAsia="zh-CN"/>
    </w:rPr>
  </w:style>
  <w:style w:type="paragraph" w:styleId="9">
    <w:name w:val="List"/>
    <w:basedOn w:val="1"/>
    <w:qFormat/>
    <w:uiPriority w:val="0"/>
    <w:pPr>
      <w:ind w:left="568" w:hanging="284"/>
    </w:pPr>
  </w:style>
  <w:style w:type="paragraph" w:styleId="10">
    <w:name w:val="Normal (Web)"/>
    <w:basedOn w:val="1"/>
    <w:qFormat/>
    <w:uiPriority w:val="0"/>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basedOn w:val="13"/>
    <w:qFormat/>
    <w:uiPriority w:val="0"/>
    <w:rPr>
      <w:color w:val="0000FF"/>
      <w:u w:val="single"/>
    </w:rPr>
  </w:style>
  <w:style w:type="paragraph" w:customStyle="1" w:styleId="15">
    <w:name w:val="Agreement"/>
    <w:basedOn w:val="1"/>
    <w:next w:val="16"/>
    <w:qFormat/>
    <w:uiPriority w:val="99"/>
    <w:pPr>
      <w:numPr>
        <w:ilvl w:val="0"/>
        <w:numId w:val="2"/>
      </w:numPr>
      <w:overflowPunct/>
      <w:autoSpaceDE/>
      <w:autoSpaceDN/>
      <w:adjustRightInd/>
      <w:spacing w:before="60" w:after="0"/>
      <w:jc w:val="left"/>
      <w:textAlignment w:val="auto"/>
    </w:pPr>
    <w:rPr>
      <w:rFonts w:eastAsia="MS Mincho"/>
      <w:b/>
      <w:szCs w:val="24"/>
      <w:lang w:eastAsia="en-GB"/>
    </w:rPr>
  </w:style>
  <w:style w:type="paragraph" w:customStyle="1" w:styleId="16">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7">
    <w:name w:val="Proposal"/>
    <w:basedOn w:val="1"/>
    <w:qFormat/>
    <w:uiPriority w:val="0"/>
    <w:pPr>
      <w:tabs>
        <w:tab w:val="left" w:pos="1701"/>
      </w:tabs>
    </w:pPr>
    <w:rPr>
      <w:b/>
      <w:bCs/>
    </w:rPr>
  </w:style>
  <w:style w:type="paragraph" w:customStyle="1" w:styleId="18">
    <w:name w:val="Comments"/>
    <w:basedOn w:val="1"/>
    <w:qFormat/>
    <w:uiPriority w:val="0"/>
    <w:rPr>
      <w:i/>
      <w:sz w:val="18"/>
    </w:rPr>
  </w:style>
  <w:style w:type="paragraph" w:styleId="19">
    <w:name w:val="List Paragraph"/>
    <w:basedOn w:val="1"/>
    <w:qFormat/>
    <w:uiPriority w:val="99"/>
    <w:pPr>
      <w:ind w:firstLine="420" w:firstLineChars="200"/>
    </w:pPr>
  </w:style>
  <w:style w:type="paragraph" w:customStyle="1" w:styleId="20">
    <w:name w:val="B1"/>
    <w:basedOn w:val="9"/>
    <w:qFormat/>
    <w:uiPriority w:val="0"/>
  </w:style>
  <w:style w:type="paragraph" w:customStyle="1" w:styleId="21">
    <w:name w:val="B2"/>
    <w:basedOn w:val="7"/>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 w:type="paragraph" w:customStyle="1" w:styleId="22">
    <w:name w:val="EQ"/>
    <w:basedOn w:val="1"/>
    <w:next w:val="1"/>
    <w:qFormat/>
    <w:uiPriority w:val="0"/>
    <w:pPr>
      <w:keepLines/>
      <w:tabs>
        <w:tab w:val="center" w:pos="4536"/>
        <w:tab w:val="right" w:pos="9072"/>
      </w:tabs>
    </w:pPr>
  </w:style>
  <w:style w:type="paragraph" w:customStyle="1" w:styleId="2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4">
    <w:name w:val="NO"/>
    <w:basedOn w:val="1"/>
    <w:qFormat/>
    <w:uiPriority w:val="0"/>
    <w:pPr>
      <w:keepLines/>
      <w:ind w:left="1135" w:hanging="851"/>
    </w:pPr>
  </w:style>
  <w:style w:type="character" w:customStyle="1" w:styleId="25">
    <w:name w:val="列表段落 字符"/>
    <w:basedOn w:val="13"/>
    <w:qFormat/>
    <w:uiPriority w:val="0"/>
    <w:rPr>
      <w:rFonts w:hint="default" w:ascii="Century" w:hAnsi="Century" w:eastAsia="Century" w:cs="Century"/>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579</Words>
  <Characters>3030</Characters>
  <Lines>0</Lines>
  <Paragraphs>0</Paragraphs>
  <TotalTime>3</TotalTime>
  <ScaleCrop>false</ScaleCrop>
  <LinksUpToDate>false</LinksUpToDate>
  <CharactersWithSpaces>3628</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2022-01-06T07:56:00Z</dcterms:created>
  <dc:creator>WEN.WU5</dc:creator>
  <cp:lastModifiedBy>Xingya Shen</cp:lastModifiedBy>
  <dcterms:modified xsi:type="dcterms:W3CDTF">2024-09-30T08:17:15Z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D638D0F59C244A19B98783DDB70846AB</vt:lpwstr>
  </property>
</Properties>
</file>